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cs="宋体"/>
          <w:b/>
          <w:bCs/>
          <w:color w:val="auto"/>
          <w:sz w:val="36"/>
          <w:szCs w:val="36"/>
          <w:highlight w:val="none"/>
          <w:lang w:val="en-US" w:eastAsia="zh-CN"/>
        </w:rPr>
        <w:t>机械设备租赁招标</w:t>
      </w:r>
      <w:bookmarkStart w:id="8" w:name="_GoBack"/>
      <w:bookmarkEnd w:id="8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公告（资格后审）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台安县农村供水提质增效工程机械设备租赁分包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招标项目的潜在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应在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eastAsia="zh-CN"/>
        </w:rPr>
        <w:t>吉林省建友建设项目管理有限公司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获取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招标文件，并于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2023年11月14日9时00分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北京时间）前递交投标文件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0" w:name="一、项目基本情况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1.标段名称、项目编号、范围、采购需求等</w:t>
      </w:r>
    </w:p>
    <w:tbl>
      <w:tblPr>
        <w:tblStyle w:val="3"/>
        <w:tblW w:w="10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525"/>
        <w:gridCol w:w="1252"/>
        <w:gridCol w:w="3080"/>
        <w:gridCol w:w="3342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标段名称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范围</w:t>
            </w:r>
          </w:p>
        </w:tc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采购需求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最高投标限价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台安县农村供水提质增效工程机械设备租赁分包（输水管线工程）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JYZB-2023-10-04【FW】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城市供水管网延伸至“七站”输水管线、“八厂”出水厂后全部输水管线，最终至入户水表、水龙头，以上所有输水管线施工所涉及的设备租赁</w:t>
            </w:r>
          </w:p>
        </w:tc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以上工程所需全部机械，不限于挖掘机、装载机、压路机、顶管机、小型顶管设备、平板打夯机、推土机、自卸吊车、汽车吊、钢筋混凝土加工相关机械、发电机等的租赁（具体施工内容以施工图纸及工程量清单为准），包含大型设备配备的合格的机械操作人员费用及油、电等设备动力费用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12816万元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台安县农村供水提质增效工程机械设备租赁分包（“七站八厂”土建工程）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JYZB-2023-10-05【FW】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智慧水务管理平台-原有厂房装饰整理、泵站主体及装饰、水源井工程（含泵房土建及装饰、水源井输水管道）、水厂工程主体及装饰设备租赁</w:t>
            </w:r>
          </w:p>
        </w:tc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工程所需全部机械，不限于挖掘机、装载机、压路机、钻井机、平板打夯机、推土机、自卸吊车、汽车吊、钢筋混凝土加工相关机械、发电机、场内倒运机械等的租赁（具体施工内容以施工图纸及工程量清单为准），包含大型设备配备的合格的机械操作人员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1036万元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服务地点：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辽宁省鞍山市台安县境内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服务期限：服务期限：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合同签订后，计划开始工作日期：2023年11月17日，计划竣工日期：2025年3月31日；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以上计划开、竣工时间均为暂定，具体以甲方通知的时间为准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服务标准：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合格，满足采购人提出的技术标准和要求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本项目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接受联合体投标</w:t>
      </w:r>
      <w:bookmarkStart w:id="1" w:name="二、申请人的资格要求"/>
      <w:bookmarkEnd w:id="1"/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各投标人均可就本招标项目所有标段中的任意标段投标，允许兼投但不允许兼中；按照标段自然顺序，只允许中标一个标段。如在序号1中为第一中标候选人，则序号2不再推荐为第一中标候选人。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二、申请人的资格要求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2.落实政府采购政策需满足的资格要求：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/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3.本项目的特定资格要求：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218" w:firstLineChars="104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投标人须在中华人民共和国境内合法注册，具有独立法人资格，具备有效的营业执照且经营范围包含本次招标内容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218" w:firstLineChars="104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投标人须具有经会计师事务所审计的近三年（2020年-2022年）财务审计报告或财务状况良好承诺书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218" w:firstLineChars="104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不接受被政府列入取消投标资格期限内的企业或个人参加投标。参加政府采购活动前 3 年(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2020年、2021年、2022年)内在经营活动中没有重大违法记录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218" w:firstLineChars="104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具有2022年任意月份依法缴纳社会保障资金及税收的良好记录证明材料；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218" w:firstLineChars="104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与采购人存在利害关系可能影响招标公正性的法人、其他组织或者个人，不得参加投标。单位负责人为同一人或者存在控股、管理关系的不同单位，不得参加同二标段投标或者未划分标段的同一采购项目投标。违反这两款规定的，相关投标均无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0" w:rightChars="0" w:firstLine="210" w:firstLineChars="1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（6）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本项目不接受被列入失信被执行人、重大税收违法案件当事人名单、政府采购严重违法失信行为记录名单的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参与投标（详见财库[2016]125 号文件）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；</w:t>
      </w:r>
      <w:bookmarkStart w:id="2" w:name="三、获取采购文件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三、获取采购文件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1.时间：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2023年10月23日至2023年10月27日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，每天上午9时00分至11时30分,下午13时30分至16时（北京时间，法定节假日除外）；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2.地点：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长春市硅谷大街与飞跃路交汇处上城财富源A座4楼453室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3.方式：本项目实行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网上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报名方式并购买招标文件。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网上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报名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以下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复印件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加盖公章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扫描成PDF电子版发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送至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吉林省建友建设项目管理有限公司邮箱（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instrText xml:space="preserve"> HYPERLINK "mailto:JLZS9986@163.com" \h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2652576500@qq.com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fldChar w:fldCharType="end"/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）并电话确认是否合格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：（1）营业执照（副本）；（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）法人授权书（或单位介绍信）；（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）被授权人身份证；（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投标人须具有经会计师事务所审计的近三年（2020年-2022年）财务审计报告或财务状况良好承诺书；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）“信用中国（www.credichina.gov.cn）和中国政府采购网（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instrText xml:space="preserve"> HYPERLINK "http://www.ccgp.gov.cn）信用记录网上截图"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www.ccgp.gov.cn）对列入失信被执行人、重大税收违法案件当事人名单、政府采购严重违法失信行为信用记录网上截图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4.售价：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00元/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标段/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套，逾期不售，售后不退；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5.有效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不足三家时，采购人另行组织采购。</w:t>
      </w:r>
      <w:bookmarkStart w:id="3" w:name="四、提交投标文件截止时间、开标时间和地点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四、提交投标文件截止时间、开标时间和地点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1.提交投标文件截止时间、开标时间：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2023年11月14日9时00分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（北京时间）；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2.地点：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吉林省长春市二道区洋浦大街凯利中心6999号AB栋101室2楼开标3室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  <w:bookmarkStart w:id="4" w:name="五、公告期限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自本公告发布之日起 5 个工作日。</w:t>
      </w:r>
      <w:bookmarkStart w:id="5" w:name="六、其他补充事宜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六、其他补充事宜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1.为有效减少人员聚集，阻断疫情传播，请参加招标投标活动人员自行做好防护措施。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.本次采购公告同时在中国政府采购网、中国招标投标公共服务平台上发布。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6" w:name="七、对本次采购提出询问，请按以下方式联系"/>
      <w:bookmarkEnd w:id="6"/>
      <w:bookmarkStart w:id="7" w:name="第二章  投标人须知"/>
      <w:bookmarkEnd w:id="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七、对本次采购提出询问，请按以下方式联系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名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称：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中水东北勘测设计研究有限责任公司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地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址：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长春市工农大路800号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联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系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人：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陈松洁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联系方式：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0431-85092216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名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称：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吉林省建友建设项目管理有限公司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地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址：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长春市硅谷大街与飞跃路交汇处上城财富源A座4楼453室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联系方式：</w:t>
      </w:r>
      <w:r>
        <w:rPr>
          <w:rFonts w:hint="eastAsia" w:cs="宋体"/>
          <w:color w:val="auto"/>
          <w:sz w:val="21"/>
          <w:szCs w:val="21"/>
          <w:highlight w:val="none"/>
          <w:lang w:val="zh-CN" w:eastAsia="zh-CN"/>
        </w:rPr>
        <w:t>0431-87658708-608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项目联系人：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沙庆非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电话：</w:t>
      </w:r>
      <w:r>
        <w:rPr>
          <w:rFonts w:hint="eastAsia" w:cs="宋体"/>
          <w:color w:val="auto"/>
          <w:sz w:val="21"/>
          <w:szCs w:val="21"/>
          <w:highlight w:val="none"/>
          <w:lang w:val="zh-CN" w:eastAsia="zh-CN"/>
        </w:rPr>
        <w:t>0431-87658708-608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4.监督部门：中水东北勘测设计研究有限责任公司纪检监察室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地址：长春市工农大路888号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highlight w:val="none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联系人：雷秀玲                联系电话：0431-85092038</w:t>
      </w:r>
    </w:p>
    <w:sectPr>
      <w:pgSz w:w="11906" w:h="16838"/>
      <w:pgMar w:top="1134" w:right="1797" w:bottom="1134" w:left="1134" w:header="851" w:footer="992" w:gutter="0"/>
      <w:cols w:space="0" w:num="1"/>
      <w:rtlGutter w:val="0"/>
      <w:docGrid w:type="linesAndChars" w:linePitch="5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9D973"/>
    <w:multiLevelType w:val="singleLevel"/>
    <w:tmpl w:val="A779D973"/>
    <w:lvl w:ilvl="0" w:tentative="0">
      <w:start w:val="1"/>
      <w:numFmt w:val="decimal"/>
      <w:suff w:val="space"/>
      <w:lvlText w:val="(%1)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zhhMDhhODM3OTJhZjgwMDEzZDQ4NzlmYTgxOWIifQ=="/>
  </w:docVars>
  <w:rsids>
    <w:rsidRoot w:val="00000000"/>
    <w:rsid w:val="1DB6448C"/>
    <w:rsid w:val="3CCF5510"/>
    <w:rsid w:val="3DF42A89"/>
    <w:rsid w:val="52330439"/>
    <w:rsid w:val="5AE2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2019-09-19T08:59:00Z</dcterms:created>
  <dc:creator>Administrator</dc:creator>
  <cp:lastModifiedBy>陈、</cp:lastModifiedBy>
  <dcterms:modified xsi:type="dcterms:W3CDTF">2023-10-22T01:13:12Z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04FA32D11EC64C0695DA5701AF56CFF9_12</vt:lpwstr>
  </property>
</Properties>
</file>